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C11C54" w:rsidRPr="00E604EA">
        <w:rPr>
          <w:b/>
          <w:sz w:val="24"/>
          <w:szCs w:val="24"/>
          <w:lang w:val="ru-RU"/>
        </w:rPr>
        <w:t>348/А-07-18</w:t>
      </w:r>
      <w:r w:rsidR="00F74A9D">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1E33B0">
        <w:rPr>
          <w:b/>
          <w:sz w:val="24"/>
          <w:szCs w:val="24"/>
          <w:lang w:val="ru-RU"/>
        </w:rPr>
      </w:r>
      <w:r w:rsidR="001E33B0">
        <w:rPr>
          <w:b/>
          <w:sz w:val="24"/>
          <w:szCs w:val="24"/>
          <w:lang w:val="ru-RU"/>
        </w:rPr>
        <w:fldChar w:fldCharType="separate"/>
      </w:r>
      <w:r w:rsidR="00F74A9D">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1233A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«Курганинскрайгаз»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w:t>
      </w:r>
      <w:r w:rsidR="0004304E">
        <w:rPr>
          <w:spacing w:val="-3"/>
          <w:sz w:val="23"/>
          <w:szCs w:val="23"/>
          <w:lang w:val="ru-RU"/>
        </w:rPr>
        <w:t xml:space="preserve">в лице </w:t>
      </w:r>
      <w:r w:rsidR="00AE6681">
        <w:rPr>
          <w:spacing w:val="-3"/>
          <w:sz w:val="23"/>
          <w:szCs w:val="23"/>
          <w:lang w:val="ru-RU"/>
        </w:rPr>
        <w:t>и. о. исполнительного директора Белова</w:t>
      </w:r>
      <w:r w:rsidR="00804029">
        <w:rPr>
          <w:spacing w:val="-3"/>
          <w:sz w:val="23"/>
          <w:szCs w:val="23"/>
          <w:lang w:val="ru-RU"/>
        </w:rPr>
        <w:t xml:space="preserve"> Александра</w:t>
      </w:r>
      <w:r w:rsidR="00AE6681">
        <w:rPr>
          <w:spacing w:val="-3"/>
          <w:sz w:val="23"/>
          <w:szCs w:val="23"/>
          <w:lang w:val="ru-RU"/>
        </w:rPr>
        <w:t xml:space="preserve"> Александровича</w:t>
      </w:r>
      <w:r w:rsidR="007A4151" w:rsidRPr="00266C98">
        <w:rPr>
          <w:spacing w:val="-3"/>
          <w:sz w:val="23"/>
          <w:szCs w:val="23"/>
          <w:lang w:val="ru-RU"/>
        </w:rPr>
        <w:t xml:space="preserve">, </w:t>
      </w:r>
      <w:r w:rsidR="002A7FE1">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Pr>
          <w:spacing w:val="-3"/>
          <w:sz w:val="23"/>
          <w:szCs w:val="23"/>
          <w:lang w:val="ru-RU"/>
        </w:rPr>
        <w:instrText xml:space="preserve"> FORMTEXT </w:instrText>
      </w:r>
      <w:r w:rsidR="002A7FE1">
        <w:rPr>
          <w:spacing w:val="-3"/>
          <w:sz w:val="23"/>
          <w:szCs w:val="23"/>
          <w:lang w:val="ru-RU"/>
        </w:rPr>
      </w:r>
      <w:r w:rsidR="002A7FE1">
        <w:rPr>
          <w:spacing w:val="-3"/>
          <w:sz w:val="23"/>
          <w:szCs w:val="23"/>
          <w:lang w:val="ru-RU"/>
        </w:rPr>
        <w:fldChar w:fldCharType="separate"/>
      </w:r>
      <w:r w:rsidR="002A7FE1">
        <w:rPr>
          <w:noProof/>
          <w:spacing w:val="-3"/>
          <w:sz w:val="23"/>
          <w:szCs w:val="23"/>
          <w:lang w:val="ru-RU"/>
        </w:rPr>
        <w:t>действующего</w:t>
      </w:r>
      <w:r w:rsidR="002A7FE1">
        <w:rPr>
          <w:spacing w:val="-3"/>
          <w:sz w:val="23"/>
          <w:szCs w:val="23"/>
          <w:lang w:val="ru-RU"/>
        </w:rPr>
        <w:fldChar w:fldCharType="end"/>
      </w:r>
      <w:bookmarkEnd w:id="2"/>
      <w:r w:rsidR="007A4151" w:rsidRPr="00266C98">
        <w:rPr>
          <w:spacing w:val="-3"/>
          <w:sz w:val="23"/>
          <w:szCs w:val="23"/>
          <w:lang w:val="ru-RU"/>
        </w:rPr>
        <w:t xml:space="preserve"> на основании </w:t>
      </w:r>
      <w:r w:rsidR="00AE6681">
        <w:rPr>
          <w:spacing w:val="-3"/>
          <w:sz w:val="23"/>
          <w:szCs w:val="23"/>
          <w:lang w:val="ru-RU"/>
        </w:rPr>
        <w:t>генеральной доверенности № 13-12/2018/306 от 11.10.2018г</w:t>
      </w:r>
      <w:r w:rsidR="007A4151" w:rsidRPr="00266C98">
        <w:rPr>
          <w:spacing w:val="-3"/>
          <w:sz w:val="23"/>
          <w:szCs w:val="23"/>
          <w:lang w:val="ru-RU"/>
        </w:rPr>
        <w:t xml:space="preserve">, с одной стороны, и </w:t>
      </w:r>
      <w:r w:rsidR="001E33B0">
        <w:rPr>
          <w:spacing w:val="-3"/>
          <w:sz w:val="23"/>
          <w:szCs w:val="23"/>
          <w:lang w:val="ru-RU"/>
        </w:rPr>
        <w:t>________________________________________________________</w:t>
      </w:r>
      <w:r w:rsidR="007A4151" w:rsidRPr="00266C98">
        <w:rPr>
          <w:spacing w:val="-3"/>
          <w:sz w:val="23"/>
          <w:szCs w:val="23"/>
          <w:lang w:val="ru-RU"/>
        </w:rPr>
        <w:t xml:space="preserve">, именуемое в дальнейшем «Аудитор», в лице </w:t>
      </w:r>
      <w:r w:rsidR="002B74FA">
        <w:rPr>
          <w:spacing w:val="-3"/>
          <w:sz w:val="23"/>
          <w:szCs w:val="23"/>
          <w:lang w:val="ru-RU"/>
        </w:rPr>
        <w:t>Генерального директора</w:t>
      </w:r>
      <w:r w:rsidR="00CD379D" w:rsidRPr="004A2A2B">
        <w:rPr>
          <w:spacing w:val="-3"/>
          <w:sz w:val="23"/>
          <w:szCs w:val="23"/>
          <w:lang w:val="ru-RU"/>
        </w:rPr>
        <w:t xml:space="preserve"> </w:t>
      </w:r>
      <w:r w:rsidR="001E33B0">
        <w:rPr>
          <w:spacing w:val="-3"/>
          <w:sz w:val="23"/>
          <w:szCs w:val="23"/>
          <w:lang w:val="ru-RU"/>
        </w:rPr>
        <w:t>____________________________</w:t>
      </w:r>
      <w:r w:rsidR="00CD379D" w:rsidRPr="00266C98">
        <w:rPr>
          <w:spacing w:val="-3"/>
          <w:sz w:val="23"/>
          <w:szCs w:val="23"/>
          <w:lang w:val="ru-RU"/>
        </w:rPr>
        <w:t xml:space="preserve">, </w:t>
      </w:r>
      <w:r w:rsidR="001E33B0">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1E33B0">
        <w:rPr>
          <w:spacing w:val="-3"/>
          <w:sz w:val="23"/>
          <w:szCs w:val="23"/>
          <w:lang w:val="ru-RU"/>
        </w:rPr>
        <w:instrText xml:space="preserve"> FORMTEXT </w:instrText>
      </w:r>
      <w:r w:rsidR="001E33B0">
        <w:rPr>
          <w:spacing w:val="-3"/>
          <w:sz w:val="23"/>
          <w:szCs w:val="23"/>
          <w:lang w:val="ru-RU"/>
        </w:rPr>
      </w:r>
      <w:r w:rsidR="001E33B0">
        <w:rPr>
          <w:spacing w:val="-3"/>
          <w:sz w:val="23"/>
          <w:szCs w:val="23"/>
          <w:lang w:val="ru-RU"/>
        </w:rPr>
        <w:fldChar w:fldCharType="separate"/>
      </w:r>
      <w:r w:rsidR="001E33B0">
        <w:rPr>
          <w:noProof/>
          <w:spacing w:val="-3"/>
          <w:sz w:val="23"/>
          <w:szCs w:val="23"/>
          <w:lang w:val="ru-RU"/>
        </w:rPr>
        <w:t>действующего(ей)</w:t>
      </w:r>
      <w:r w:rsidR="001E33B0">
        <w:rPr>
          <w:spacing w:val="-3"/>
          <w:sz w:val="23"/>
          <w:szCs w:val="23"/>
          <w:lang w:val="ru-RU"/>
        </w:rPr>
        <w:fldChar w:fldCharType="end"/>
      </w:r>
      <w:bookmarkEnd w:id="3"/>
      <w:r w:rsidR="007A4151" w:rsidRPr="00266C98">
        <w:rPr>
          <w:spacing w:val="-3"/>
          <w:sz w:val="23"/>
          <w:szCs w:val="23"/>
          <w:lang w:val="ru-RU"/>
        </w:rPr>
        <w:t xml:space="preserve"> 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BC456A">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6" w:name="ОтчетнаяДата1"/>
      <w:r w:rsidR="00BC456A">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6"/>
      <w:r w:rsidR="0074579E">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BC456A">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BC456A">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BC456A">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443774" w:rsidRPr="00266C98">
        <w:rPr>
          <w:sz w:val="23"/>
          <w:szCs w:val="23"/>
        </w:rPr>
        <w:t xml:space="preserve"> </w:t>
      </w:r>
      <w:r w:rsidR="00FA6130">
        <w:rPr>
          <w:sz w:val="23"/>
          <w:szCs w:val="23"/>
        </w:rPr>
        <w:t>«01» апреля 2019</w:t>
      </w:r>
      <w:r w:rsidR="002A7FE1" w:rsidRPr="003C0B33">
        <w:rPr>
          <w:sz w:val="22"/>
          <w:szCs w:val="24"/>
        </w:rPr>
        <w:fldChar w:fldCharType="begin">
          <w:ffData>
            <w:name w:val="ДатаАЗ1"/>
            <w:enabled/>
            <w:calcOnExit w:val="0"/>
            <w:textInput>
              <w:default w:val="«____» __________ 2019"/>
            </w:textInput>
          </w:ffData>
        </w:fldChar>
      </w:r>
      <w:bookmarkStart w:id="10" w:name="ДатаАЗ1"/>
      <w:r w:rsidR="002A7FE1" w:rsidRPr="003C0B33">
        <w:rPr>
          <w:sz w:val="22"/>
          <w:szCs w:val="24"/>
        </w:rPr>
        <w:instrText xml:space="preserve"> FORMTEXT </w:instrText>
      </w:r>
      <w:r w:rsidR="001E33B0">
        <w:rPr>
          <w:sz w:val="22"/>
          <w:szCs w:val="24"/>
        </w:rPr>
      </w:r>
      <w:r w:rsidR="001E33B0">
        <w:rPr>
          <w:sz w:val="22"/>
          <w:szCs w:val="24"/>
        </w:rPr>
        <w:fldChar w:fldCharType="separate"/>
      </w:r>
      <w:r w:rsidR="002A7FE1" w:rsidRPr="003C0B33">
        <w:rPr>
          <w:sz w:val="22"/>
          <w:szCs w:val="24"/>
        </w:rPr>
        <w:fldChar w:fldCharType="end"/>
      </w:r>
      <w:bookmarkEnd w:id="10"/>
      <w:r w:rsidR="003C0B33" w:rsidRPr="003C0B33">
        <w:rPr>
          <w:sz w:val="22"/>
          <w:szCs w:val="24"/>
        </w:rPr>
        <w:t xml:space="preserve"> </w:t>
      </w:r>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proofErr w:type="gramStart"/>
      <w:r w:rsidRPr="00266C98">
        <w:rPr>
          <w:sz w:val="23"/>
          <w:szCs w:val="23"/>
        </w:rPr>
        <w:t>а)</w:t>
      </w:r>
      <w:r w:rsidRPr="00266C98">
        <w:rPr>
          <w:sz w:val="23"/>
          <w:szCs w:val="23"/>
        </w:rPr>
        <w:tab/>
      </w:r>
      <w:proofErr w:type="gramEnd"/>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proofErr w:type="gramStart"/>
      <w:r w:rsidRPr="00266C98">
        <w:rPr>
          <w:sz w:val="23"/>
          <w:szCs w:val="23"/>
        </w:rPr>
        <w:t>б)</w:t>
      </w:r>
      <w:r w:rsidRPr="00266C98">
        <w:rPr>
          <w:sz w:val="23"/>
          <w:szCs w:val="23"/>
        </w:rPr>
        <w:tab/>
      </w:r>
      <w:proofErr w:type="gramEnd"/>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AE6681">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AE6681" w:rsidRPr="00AE6681">
        <w:rPr>
          <w:sz w:val="23"/>
          <w:szCs w:val="23"/>
        </w:rPr>
        <w:t xml:space="preserve">и. о. исполнительного директора Белову А.А. </w:t>
      </w:r>
      <w:r w:rsidR="00AE6681">
        <w:rPr>
          <w:sz w:val="23"/>
          <w:szCs w:val="23"/>
          <w:lang w:val="en-US"/>
        </w:rPr>
        <w:t>KURG</w:t>
      </w:r>
      <w:r w:rsidR="00AE6681" w:rsidRPr="00AE6681">
        <w:rPr>
          <w:sz w:val="23"/>
          <w:szCs w:val="23"/>
        </w:rPr>
        <w:t>@gazpromgk.</w:t>
      </w:r>
      <w:r w:rsidR="00AE6681" w:rsidRPr="001E33B0">
        <w:rPr>
          <w:sz w:val="23"/>
          <w:szCs w:val="23"/>
        </w:rPr>
        <w:t>ru</w:t>
      </w:r>
      <w:r w:rsidR="007A4151" w:rsidRPr="001E33B0">
        <w:rPr>
          <w:sz w:val="23"/>
          <w:szCs w:val="23"/>
        </w:rPr>
        <w:t xml:space="preserve"> не позднее </w:t>
      </w:r>
      <w:r w:rsidR="00FA6130">
        <w:rPr>
          <w:sz w:val="23"/>
          <w:szCs w:val="23"/>
        </w:rPr>
        <w:t>«01» апреля 2019</w:t>
      </w:r>
      <w:r w:rsidR="00FA6130" w:rsidRPr="003C0B33">
        <w:rPr>
          <w:sz w:val="22"/>
          <w:szCs w:val="24"/>
        </w:rPr>
        <w:fldChar w:fldCharType="begin">
          <w:ffData>
            <w:name w:val="ДатаАЗ1"/>
            <w:enabled/>
            <w:calcOnExit w:val="0"/>
            <w:textInput>
              <w:default w:val="«____» __________ 2019"/>
            </w:textInput>
          </w:ffData>
        </w:fldChar>
      </w:r>
      <w:r w:rsidR="00FA6130" w:rsidRPr="003C0B33">
        <w:rPr>
          <w:sz w:val="22"/>
          <w:szCs w:val="24"/>
        </w:rPr>
        <w:instrText xml:space="preserve"> FORMTEXT </w:instrText>
      </w:r>
      <w:r w:rsidR="001E33B0">
        <w:rPr>
          <w:sz w:val="22"/>
          <w:szCs w:val="24"/>
        </w:rPr>
      </w:r>
      <w:r w:rsidR="001E33B0">
        <w:rPr>
          <w:sz w:val="22"/>
          <w:szCs w:val="24"/>
        </w:rPr>
        <w:fldChar w:fldCharType="separate"/>
      </w:r>
      <w:r w:rsidR="00FA6130" w:rsidRPr="003C0B33">
        <w:rPr>
          <w:sz w:val="22"/>
          <w:szCs w:val="24"/>
        </w:rPr>
        <w:fldChar w:fldCharType="end"/>
      </w:r>
      <w:r w:rsidR="00FA6130" w:rsidRPr="003C0B33">
        <w:rPr>
          <w:sz w:val="22"/>
          <w:szCs w:val="24"/>
        </w:rPr>
        <w:t xml:space="preserve"> </w:t>
      </w:r>
      <w:r w:rsidR="00FA6130" w:rsidRPr="003C0B33">
        <w:rPr>
          <w:sz w:val="23"/>
          <w:szCs w:val="23"/>
        </w:rPr>
        <w:t>года</w:t>
      </w:r>
      <w:r w:rsidR="00E3214D">
        <w:rPr>
          <w:sz w:val="22"/>
          <w:szCs w:val="22"/>
        </w:rPr>
        <w:fldChar w:fldCharType="begin">
          <w:ffData>
            <w:name w:val="ДатаАЗ"/>
            <w:enabled/>
            <w:calcOnExit w:val="0"/>
            <w:textInput>
              <w:default w:val="&quot;   &quot; ________________2019г."/>
            </w:textInput>
          </w:ffData>
        </w:fldChar>
      </w:r>
      <w:bookmarkStart w:id="19" w:name="ДатаАЗ"/>
      <w:r w:rsidR="00E3214D">
        <w:rPr>
          <w:sz w:val="22"/>
          <w:szCs w:val="22"/>
        </w:rPr>
        <w:instrText xml:space="preserve"> FORMTEXT </w:instrText>
      </w:r>
      <w:r w:rsidR="001E33B0">
        <w:rPr>
          <w:sz w:val="22"/>
          <w:szCs w:val="22"/>
        </w:rPr>
      </w:r>
      <w:r w:rsidR="001E33B0">
        <w:rPr>
          <w:sz w:val="22"/>
          <w:szCs w:val="22"/>
        </w:rPr>
        <w:fldChar w:fldCharType="separate"/>
      </w:r>
      <w:r w:rsidR="00E3214D">
        <w:rPr>
          <w:sz w:val="22"/>
          <w:szCs w:val="22"/>
        </w:rPr>
        <w:fldChar w:fldCharType="end"/>
      </w:r>
      <w:bookmarkEnd w:id="19"/>
      <w:r w:rsidR="007A4151" w:rsidRPr="004F7133">
        <w:rPr>
          <w:sz w:val="23"/>
          <w:szCs w:val="23"/>
        </w:rPr>
        <w:t xml:space="preserve"> </w:t>
      </w:r>
      <w:r w:rsidR="002B74FA" w:rsidRPr="002B74FA">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BC456A">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 xml:space="preserve">Давать по письменному запросу Аудитора исчерпывающие разъяснения и подтверждения в письменной форме, а также запрашивать необходимые для </w:t>
      </w:r>
      <w:proofErr w:type="gramStart"/>
      <w:r w:rsidRPr="004F7133">
        <w:rPr>
          <w:sz w:val="23"/>
          <w:szCs w:val="23"/>
        </w:rPr>
        <w:t>проведения  аудита</w:t>
      </w:r>
      <w:proofErr w:type="gramEnd"/>
      <w:r w:rsidRPr="004F7133">
        <w:rPr>
          <w:sz w:val="23"/>
          <w:szCs w:val="23"/>
        </w:rPr>
        <w:t xml:space="preserve">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4F7133" w:rsidRDefault="008261B2" w:rsidP="00E604EA">
      <w:pPr>
        <w:pStyle w:val="Numberedr"/>
        <w:widowControl w:val="0"/>
        <w:numPr>
          <w:ilvl w:val="1"/>
          <w:numId w:val="7"/>
        </w:numPr>
        <w:tabs>
          <w:tab w:val="clear" w:pos="360"/>
          <w:tab w:val="num" w:pos="709"/>
        </w:tabs>
        <w:ind w:left="709" w:hanging="709"/>
        <w:jc w:val="both"/>
        <w:rPr>
          <w:sz w:val="23"/>
          <w:szCs w:val="23"/>
        </w:rPr>
      </w:pPr>
      <w:r w:rsidRPr="004F7133">
        <w:rPr>
          <w:sz w:val="23"/>
          <w:szCs w:val="23"/>
        </w:rPr>
        <w:t>Общая стоимость услуг Аудитора по настоящему Договору составляет</w:t>
      </w:r>
      <w:r w:rsidR="00E604EA">
        <w:rPr>
          <w:sz w:val="23"/>
          <w:szCs w:val="23"/>
        </w:rPr>
        <w:t xml:space="preserve"> 203 511,86 (</w:t>
      </w:r>
      <w:r w:rsidR="00E604EA" w:rsidRPr="00E604EA">
        <w:rPr>
          <w:sz w:val="23"/>
          <w:szCs w:val="23"/>
        </w:rPr>
        <w:t>Двести три тысячи пятьсот один</w:t>
      </w:r>
      <w:r w:rsidR="00E604EA">
        <w:rPr>
          <w:sz w:val="23"/>
          <w:szCs w:val="23"/>
        </w:rPr>
        <w:t>н</w:t>
      </w:r>
      <w:r w:rsidR="00E604EA" w:rsidRPr="00E604EA">
        <w:rPr>
          <w:sz w:val="23"/>
          <w:szCs w:val="23"/>
        </w:rPr>
        <w:t>адцать</w:t>
      </w:r>
      <w:r w:rsidR="00E604EA">
        <w:rPr>
          <w:sz w:val="23"/>
          <w:szCs w:val="23"/>
        </w:rPr>
        <w:t>)</w:t>
      </w:r>
      <w:r w:rsidR="00E604EA" w:rsidRPr="00E604EA">
        <w:rPr>
          <w:sz w:val="23"/>
          <w:szCs w:val="23"/>
        </w:rPr>
        <w:t xml:space="preserve"> рублей 86 копеек</w:t>
      </w:r>
      <w:r w:rsidR="009C6704" w:rsidRPr="00F87E1F">
        <w:rPr>
          <w:sz w:val="23"/>
          <w:szCs w:val="23"/>
        </w:rPr>
        <w:t xml:space="preserve">, </w:t>
      </w:r>
      <w:r w:rsidR="00E604EA">
        <w:rPr>
          <w:sz w:val="23"/>
          <w:szCs w:val="23"/>
        </w:rPr>
        <w:t>кроме того</w:t>
      </w:r>
      <w:r w:rsidR="00E604EA">
        <w:rPr>
          <w:spacing w:val="-3"/>
          <w:sz w:val="23"/>
          <w:szCs w:val="23"/>
        </w:rPr>
        <w:t xml:space="preserve"> НДС по ставке в соответствии с законодательством Российской Федерации о налогах и сборах</w:t>
      </w:r>
      <w:r w:rsidR="00E604EA" w:rsidRPr="0091142E">
        <w:rPr>
          <w:sz w:val="23"/>
          <w:szCs w:val="23"/>
        </w:rPr>
        <w:t>.</w:t>
      </w:r>
      <w:r w:rsidR="00E604EA">
        <w:rPr>
          <w:sz w:val="23"/>
          <w:szCs w:val="23"/>
        </w:rPr>
        <w:t xml:space="preserve"> </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E604EA">
        <w:rPr>
          <w:sz w:val="23"/>
          <w:szCs w:val="23"/>
        </w:rPr>
        <w:t xml:space="preserve">увеличивается на сумму НДС, рассчитанную </w:t>
      </w:r>
      <w:r w:rsidR="00E604EA">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r w:rsidR="00817BDE" w:rsidRPr="004F7133">
        <w:rPr>
          <w:sz w:val="23"/>
          <w:szCs w:val="23"/>
        </w:rPr>
        <w:t xml:space="preserve"> </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1"/>
      <w:r w:rsidR="00817BDE" w:rsidRPr="004F7133">
        <w:rPr>
          <w:sz w:val="23"/>
          <w:szCs w:val="23"/>
        </w:rPr>
        <w:t xml:space="preserve"> </w:t>
      </w:r>
      <w:bookmarkStart w:id="62"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 xml:space="preserve">В случае нарушения положений пунктов </w:t>
      </w:r>
      <w:proofErr w:type="gramStart"/>
      <w:r w:rsidRPr="004F7133">
        <w:rPr>
          <w:sz w:val="23"/>
          <w:szCs w:val="23"/>
        </w:rPr>
        <w:t>10.1</w:t>
      </w:r>
      <w:r w:rsidR="00012285">
        <w:rPr>
          <w:sz w:val="23"/>
          <w:szCs w:val="23"/>
        </w:rPr>
        <w:t>.</w:t>
      </w:r>
      <w:r w:rsidRPr="004F7133">
        <w:rPr>
          <w:sz w:val="23"/>
          <w:szCs w:val="23"/>
        </w:rPr>
        <w:t>-</w:t>
      </w:r>
      <w:proofErr w:type="gramEnd"/>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2F0391"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1" w:name="_Ref495908780"/>
      <w:bookmarkEnd w:id="70"/>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 xml:space="preserve">Документы, указанные в пункте </w:t>
      </w:r>
      <w:proofErr w:type="gramStart"/>
      <w:r w:rsidRPr="004F7133">
        <w:rPr>
          <w:sz w:val="23"/>
          <w:szCs w:val="23"/>
        </w:rPr>
        <w:t>11.</w:t>
      </w:r>
      <w:r w:rsidR="00A92D49">
        <w:rPr>
          <w:sz w:val="23"/>
          <w:szCs w:val="23"/>
        </w:rPr>
        <w:t>4</w:t>
      </w:r>
      <w:r w:rsidRPr="004F7133">
        <w:rPr>
          <w:sz w:val="23"/>
          <w:szCs w:val="23"/>
        </w:rPr>
        <w:t>.,</w:t>
      </w:r>
      <w:proofErr w:type="gramEnd"/>
      <w:r w:rsidRPr="004F7133">
        <w:rPr>
          <w:sz w:val="23"/>
          <w:szCs w:val="23"/>
        </w:rPr>
        <w:t xml:space="preserve">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3" w:name="Клиент2"/>
          <w:p w:rsidR="00F0117C" w:rsidRPr="007A140A" w:rsidRDefault="001233A4"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«Курганинскрайгаз»</w:t>
            </w:r>
            <w:r>
              <w:rPr>
                <w:b/>
                <w:spacing w:val="-3"/>
                <w:sz w:val="24"/>
                <w:szCs w:val="24"/>
                <w:lang w:val="ru-RU"/>
              </w:rPr>
              <w:fldChar w:fldCharType="end"/>
            </w:r>
            <w:bookmarkEnd w:id="73"/>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r w:rsidRPr="009276B4">
              <w:rPr>
                <w:sz w:val="22"/>
                <w:szCs w:val="22"/>
                <w:lang w:val="ru-RU"/>
              </w:rPr>
              <w:t xml:space="preserve">Место нахождения: </w:t>
            </w:r>
            <w:bookmarkStart w:id="74"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352430,Россия, Краснодарский край, г.Курганинск, д.109</w:t>
            </w:r>
            <w:r>
              <w:rPr>
                <w:sz w:val="22"/>
                <w:szCs w:val="22"/>
                <w:lang w:val="ru-RU"/>
              </w:rPr>
              <w:fldChar w:fldCharType="end"/>
            </w:r>
            <w:bookmarkEnd w:id="74"/>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5"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352430,Россия, Краснодарский край, г.Курганинск, д.109</w:t>
            </w:r>
            <w:r>
              <w:rPr>
                <w:sz w:val="22"/>
                <w:szCs w:val="22"/>
                <w:lang w:val="ru-RU"/>
              </w:rPr>
              <w:fldChar w:fldCharType="end"/>
            </w:r>
            <w:bookmarkEnd w:id="75"/>
          </w:p>
          <w:p w:rsidR="00BC456A" w:rsidRPr="009276B4" w:rsidRDefault="00BC456A" w:rsidP="00BC456A">
            <w:pPr>
              <w:pStyle w:val="2"/>
              <w:widowControl w:val="0"/>
              <w:rPr>
                <w:sz w:val="22"/>
                <w:szCs w:val="22"/>
                <w:lang w:val="ru-RU"/>
              </w:rPr>
            </w:pPr>
            <w:r w:rsidRPr="009276B4">
              <w:rPr>
                <w:sz w:val="22"/>
                <w:szCs w:val="22"/>
                <w:lang w:val="ru-RU"/>
              </w:rPr>
              <w:t xml:space="preserve">Тел. </w:t>
            </w:r>
            <w:bookmarkStart w:id="76"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8614722470</w:t>
            </w:r>
            <w:r>
              <w:rPr>
                <w:sz w:val="22"/>
                <w:szCs w:val="22"/>
                <w:lang w:val="ru-RU"/>
              </w:rPr>
              <w:fldChar w:fldCharType="end"/>
            </w:r>
            <w:bookmarkEnd w:id="76"/>
          </w:p>
          <w:p w:rsidR="00BC456A" w:rsidRPr="00804029" w:rsidRDefault="00BC456A" w:rsidP="00BC456A">
            <w:pPr>
              <w:pStyle w:val="2"/>
              <w:widowControl w:val="0"/>
              <w:rPr>
                <w:sz w:val="22"/>
                <w:szCs w:val="22"/>
              </w:rPr>
            </w:pPr>
            <w:r w:rsidRPr="009276B4">
              <w:rPr>
                <w:sz w:val="22"/>
                <w:szCs w:val="22"/>
                <w:lang w:val="ru-RU"/>
              </w:rPr>
              <w:t>Факс</w:t>
            </w:r>
            <w:r w:rsidR="003A5E5F" w:rsidRPr="00804029">
              <w:rPr>
                <w:sz w:val="22"/>
                <w:szCs w:val="22"/>
              </w:rPr>
              <w:t>. 8614722470</w:t>
            </w:r>
            <w:r w:rsidR="001F121F">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1F121F" w:rsidRPr="00804029">
              <w:rPr>
                <w:sz w:val="22"/>
                <w:szCs w:val="22"/>
              </w:rPr>
              <w:instrText xml:space="preserve"> </w:instrText>
            </w:r>
            <w:r w:rsidR="001F121F" w:rsidRPr="00FA6130">
              <w:rPr>
                <w:sz w:val="22"/>
                <w:szCs w:val="22"/>
              </w:rPr>
              <w:instrText>FORMTEXT</w:instrText>
            </w:r>
            <w:r w:rsidR="001F121F" w:rsidRPr="00804029">
              <w:rPr>
                <w:sz w:val="22"/>
                <w:szCs w:val="22"/>
              </w:rPr>
              <w:instrText xml:space="preserve"> </w:instrText>
            </w:r>
            <w:r w:rsidR="001E33B0">
              <w:rPr>
                <w:sz w:val="22"/>
                <w:szCs w:val="22"/>
                <w:lang w:val="ru-RU"/>
              </w:rPr>
            </w:r>
            <w:r w:rsidR="001E33B0">
              <w:rPr>
                <w:sz w:val="22"/>
                <w:szCs w:val="22"/>
                <w:lang w:val="ru-RU"/>
              </w:rPr>
              <w:fldChar w:fldCharType="separate"/>
            </w:r>
            <w:r w:rsidR="001F121F">
              <w:rPr>
                <w:sz w:val="22"/>
                <w:szCs w:val="22"/>
                <w:lang w:val="ru-RU"/>
              </w:rPr>
              <w:fldChar w:fldCharType="end"/>
            </w:r>
            <w:bookmarkEnd w:id="77"/>
          </w:p>
          <w:p w:rsidR="00BC456A" w:rsidRPr="00804029" w:rsidRDefault="00BC456A" w:rsidP="00BC456A">
            <w:pPr>
              <w:pStyle w:val="2"/>
              <w:widowControl w:val="0"/>
              <w:rPr>
                <w:sz w:val="22"/>
                <w:szCs w:val="22"/>
              </w:rPr>
            </w:pPr>
            <w:proofErr w:type="gramStart"/>
            <w:r w:rsidRPr="00FA6130">
              <w:rPr>
                <w:sz w:val="22"/>
                <w:szCs w:val="22"/>
              </w:rPr>
              <w:t>e</w:t>
            </w:r>
            <w:r w:rsidRPr="00804029">
              <w:rPr>
                <w:sz w:val="22"/>
                <w:szCs w:val="22"/>
              </w:rPr>
              <w:t>-</w:t>
            </w:r>
            <w:r w:rsidRPr="00FA6130">
              <w:rPr>
                <w:sz w:val="22"/>
                <w:szCs w:val="22"/>
              </w:rPr>
              <w:t>mail</w:t>
            </w:r>
            <w:proofErr w:type="gramEnd"/>
            <w:r w:rsidRPr="00804029">
              <w:rPr>
                <w:sz w:val="22"/>
                <w:szCs w:val="22"/>
              </w:rPr>
              <w:t xml:space="preserve">: </w:t>
            </w:r>
            <w:bookmarkStart w:id="78" w:name="МылоАудируемойОрг"/>
            <w:r>
              <w:rPr>
                <w:sz w:val="22"/>
                <w:szCs w:val="22"/>
                <w:lang w:val="ru-RU"/>
              </w:rPr>
              <w:fldChar w:fldCharType="begin">
                <w:ffData>
                  <w:name w:val="МылоАудируемойОрг"/>
                  <w:enabled/>
                  <w:calcOnExit w:val="0"/>
                  <w:textInput>
                    <w:default w:val="МылоАудируемойОрг"/>
                  </w:textInput>
                </w:ffData>
              </w:fldChar>
            </w:r>
            <w:r w:rsidRPr="00804029">
              <w:rPr>
                <w:sz w:val="22"/>
                <w:szCs w:val="22"/>
              </w:rPr>
              <w:instrText xml:space="preserve"> </w:instrText>
            </w:r>
            <w:r w:rsidRPr="00FA6130">
              <w:rPr>
                <w:sz w:val="22"/>
                <w:szCs w:val="22"/>
              </w:rPr>
              <w:instrText>FORMTEXT</w:instrText>
            </w:r>
            <w:r w:rsidRPr="00804029">
              <w:rPr>
                <w:sz w:val="22"/>
                <w:szCs w:val="22"/>
              </w:rPr>
              <w:instrText xml:space="preserve"> </w:instrText>
            </w:r>
            <w:r>
              <w:rPr>
                <w:sz w:val="22"/>
                <w:szCs w:val="22"/>
                <w:lang w:val="ru-RU"/>
              </w:rPr>
            </w:r>
            <w:r>
              <w:rPr>
                <w:sz w:val="22"/>
                <w:szCs w:val="22"/>
                <w:lang w:val="ru-RU"/>
              </w:rPr>
              <w:fldChar w:fldCharType="separate"/>
            </w:r>
            <w:r w:rsidRPr="00FA6130">
              <w:rPr>
                <w:noProof/>
                <w:sz w:val="22"/>
                <w:szCs w:val="22"/>
              </w:rPr>
              <w:t>KURG</w:t>
            </w:r>
            <w:r w:rsidRPr="00804029">
              <w:rPr>
                <w:noProof/>
                <w:sz w:val="22"/>
                <w:szCs w:val="22"/>
              </w:rPr>
              <w:t>@</w:t>
            </w:r>
            <w:r w:rsidRPr="00FA6130">
              <w:rPr>
                <w:noProof/>
                <w:sz w:val="22"/>
                <w:szCs w:val="22"/>
              </w:rPr>
              <w:t>kraygaz</w:t>
            </w:r>
            <w:r w:rsidRPr="00804029">
              <w:rPr>
                <w:noProof/>
                <w:sz w:val="22"/>
                <w:szCs w:val="22"/>
              </w:rPr>
              <w:t>.</w:t>
            </w:r>
            <w:r w:rsidRPr="00FA6130">
              <w:rPr>
                <w:noProof/>
                <w:sz w:val="22"/>
                <w:szCs w:val="22"/>
              </w:rPr>
              <w:t>ru</w:t>
            </w:r>
            <w:r>
              <w:rPr>
                <w:sz w:val="22"/>
                <w:szCs w:val="22"/>
                <w:lang w:val="ru-RU"/>
              </w:rPr>
              <w:fldChar w:fldCharType="end"/>
            </w:r>
            <w:bookmarkEnd w:id="78"/>
          </w:p>
          <w:p w:rsidR="00BC456A" w:rsidRPr="009276B4" w:rsidRDefault="00BC456A" w:rsidP="00BC456A">
            <w:pPr>
              <w:pStyle w:val="2"/>
              <w:widowControl w:val="0"/>
              <w:rPr>
                <w:sz w:val="22"/>
                <w:szCs w:val="22"/>
                <w:lang w:val="ru-RU"/>
              </w:rPr>
            </w:pPr>
            <w:r w:rsidRPr="009276B4">
              <w:rPr>
                <w:sz w:val="22"/>
                <w:szCs w:val="22"/>
                <w:lang w:val="ru-RU"/>
              </w:rPr>
              <w:t xml:space="preserve">ИНН </w:t>
            </w:r>
            <w:bookmarkStart w:id="79" w:name="ИНН"/>
            <w:r>
              <w:rPr>
                <w:sz w:val="22"/>
                <w:szCs w:val="22"/>
                <w:lang w:val="ru-RU"/>
              </w:rPr>
              <w:fldChar w:fldCharType="begin">
                <w:ffData>
                  <w:name w:val="ИНН"/>
                  <w:enabled/>
                  <w:calcOnExit w:val="0"/>
                  <w:textInput>
                    <w:default w:val="ИНН"/>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2339006023</w:t>
            </w:r>
            <w:r>
              <w:rPr>
                <w:sz w:val="22"/>
                <w:szCs w:val="22"/>
                <w:lang w:val="ru-RU"/>
              </w:rPr>
              <w:fldChar w:fldCharType="end"/>
            </w:r>
            <w:bookmarkEnd w:id="79"/>
          </w:p>
          <w:p w:rsidR="00BC456A" w:rsidRPr="009276B4" w:rsidRDefault="00BC456A" w:rsidP="00BC456A">
            <w:pPr>
              <w:pStyle w:val="2"/>
              <w:widowControl w:val="0"/>
              <w:rPr>
                <w:sz w:val="22"/>
                <w:szCs w:val="22"/>
                <w:lang w:val="ru-RU"/>
              </w:rPr>
            </w:pPr>
            <w:r w:rsidRPr="009276B4">
              <w:rPr>
                <w:sz w:val="22"/>
                <w:szCs w:val="22"/>
                <w:lang w:val="ru-RU"/>
              </w:rPr>
              <w:t xml:space="preserve">КПП </w:t>
            </w:r>
            <w:bookmarkStart w:id="80"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233901001</w:t>
            </w:r>
            <w:r>
              <w:rPr>
                <w:sz w:val="22"/>
                <w:szCs w:val="22"/>
                <w:lang w:val="ru-RU"/>
              </w:rPr>
              <w:fldChar w:fldCharType="end"/>
            </w:r>
            <w:bookmarkEnd w:id="80"/>
          </w:p>
          <w:p w:rsidR="00BC456A" w:rsidRPr="009276B4" w:rsidRDefault="00BC456A" w:rsidP="00BC456A">
            <w:pPr>
              <w:pStyle w:val="2"/>
              <w:widowControl w:val="0"/>
              <w:rPr>
                <w:sz w:val="22"/>
                <w:szCs w:val="22"/>
                <w:lang w:val="ru-RU"/>
              </w:rPr>
            </w:pPr>
            <w:r w:rsidRPr="009276B4">
              <w:rPr>
                <w:sz w:val="22"/>
                <w:szCs w:val="22"/>
                <w:lang w:val="ru-RU"/>
              </w:rPr>
              <w:t>Банковские реквизиты:</w:t>
            </w:r>
          </w:p>
          <w:p w:rsidR="00BC456A" w:rsidRPr="001C091E" w:rsidRDefault="00BC456A" w:rsidP="00BC456A">
            <w:pPr>
              <w:pStyle w:val="2"/>
              <w:widowControl w:val="0"/>
              <w:rPr>
                <w:sz w:val="22"/>
                <w:szCs w:val="22"/>
                <w:lang w:val="ru-RU"/>
              </w:rPr>
            </w:pPr>
            <w:r w:rsidRPr="009276B4">
              <w:rPr>
                <w:sz w:val="22"/>
                <w:szCs w:val="22"/>
                <w:lang w:val="ru-RU"/>
              </w:rPr>
              <w:t>р/счет</w:t>
            </w:r>
            <w:r w:rsidR="001F121F" w:rsidRPr="001F121F">
              <w:rPr>
                <w:sz w:val="22"/>
                <w:szCs w:val="22"/>
                <w:lang w:val="ru-RU"/>
              </w:rPr>
              <w:t xml:space="preserve"> </w:t>
            </w:r>
            <w:r w:rsidR="001F121F">
              <w:rPr>
                <w:sz w:val="22"/>
                <w:szCs w:val="22"/>
                <w:lang w:val="ru-RU"/>
              </w:rPr>
              <w:fldChar w:fldCharType="begin">
                <w:ffData>
                  <w:name w:val="РсчАудируемойОрг"/>
                  <w:enabled/>
                  <w:calcOnExit w:val="0"/>
                  <w:textInput>
                    <w:default w:val="РсчАудируемойОрг"/>
                  </w:textInput>
                </w:ffData>
              </w:fldChar>
            </w:r>
            <w:bookmarkStart w:id="81" w:name="РсчАудируемойОрг"/>
            <w:r w:rsidR="001F121F">
              <w:rPr>
                <w:sz w:val="22"/>
                <w:szCs w:val="22"/>
                <w:lang w:val="ru-RU"/>
              </w:rPr>
              <w:instrText xml:space="preserve"> FORMTEXT </w:instrText>
            </w:r>
            <w:r w:rsidR="001F121F">
              <w:rPr>
                <w:sz w:val="22"/>
                <w:szCs w:val="22"/>
                <w:lang w:val="ru-RU"/>
              </w:rPr>
            </w:r>
            <w:r w:rsidR="001F121F">
              <w:rPr>
                <w:sz w:val="22"/>
                <w:szCs w:val="22"/>
                <w:lang w:val="ru-RU"/>
              </w:rPr>
              <w:fldChar w:fldCharType="separate"/>
            </w:r>
            <w:r w:rsidR="001F121F">
              <w:rPr>
                <w:noProof/>
                <w:sz w:val="22"/>
                <w:szCs w:val="22"/>
                <w:lang w:val="ru-RU"/>
              </w:rPr>
              <w:t>40702810300010005140</w:t>
            </w:r>
            <w:r w:rsidR="001F121F">
              <w:rPr>
                <w:sz w:val="22"/>
                <w:szCs w:val="22"/>
                <w:lang w:val="ru-RU"/>
              </w:rPr>
              <w:fldChar w:fldCharType="end"/>
            </w:r>
            <w:bookmarkEnd w:id="81"/>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2" w:name="БанкКлиента"/>
            <w:r w:rsidR="001C091E">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1C091E">
              <w:rPr>
                <w:sz w:val="22"/>
                <w:lang w:val="ru-RU"/>
              </w:rPr>
            </w:r>
            <w:r w:rsidR="001C091E">
              <w:rPr>
                <w:sz w:val="22"/>
                <w:lang w:val="ru-RU"/>
              </w:rPr>
              <w:fldChar w:fldCharType="separate"/>
            </w:r>
            <w:r w:rsidR="001C091E">
              <w:rPr>
                <w:noProof/>
                <w:sz w:val="22"/>
                <w:lang w:val="ru-RU"/>
              </w:rPr>
              <w:t>ЦЕНТРАЛЬНЫЙ ФИЛИАЛ АБ «РОССИЯ»</w:t>
            </w:r>
            <w:r w:rsidR="001C091E">
              <w:rPr>
                <w:sz w:val="22"/>
                <w:lang w:val="ru-RU"/>
              </w:rPr>
              <w:fldChar w:fldCharType="end"/>
            </w:r>
            <w:bookmarkEnd w:id="82"/>
          </w:p>
          <w:p w:rsidR="00BC456A" w:rsidRPr="009276B4" w:rsidRDefault="00BC456A" w:rsidP="00BC456A">
            <w:pPr>
              <w:pStyle w:val="2"/>
              <w:widowControl w:val="0"/>
              <w:rPr>
                <w:sz w:val="22"/>
                <w:szCs w:val="22"/>
                <w:lang w:val="ru-RU"/>
              </w:rPr>
            </w:pPr>
            <w:r w:rsidRPr="009276B4">
              <w:rPr>
                <w:sz w:val="22"/>
                <w:szCs w:val="22"/>
                <w:lang w:val="ru-RU"/>
              </w:rPr>
              <w:t xml:space="preserve">к/счет </w:t>
            </w:r>
            <w:bookmarkStart w:id="83"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3"/>
          </w:p>
          <w:p w:rsidR="005645C9" w:rsidRPr="009276B4" w:rsidRDefault="00BC456A" w:rsidP="00BC456A">
            <w:pPr>
              <w:pStyle w:val="2"/>
              <w:widowControl w:val="0"/>
              <w:rPr>
                <w:sz w:val="22"/>
                <w:szCs w:val="22"/>
                <w:lang w:val="ru-RU"/>
              </w:rPr>
            </w:pPr>
            <w:r w:rsidRPr="009276B4">
              <w:rPr>
                <w:sz w:val="22"/>
                <w:szCs w:val="22"/>
                <w:lang w:val="ru-RU"/>
              </w:rPr>
              <w:t xml:space="preserve">БИК </w:t>
            </w:r>
            <w:bookmarkStart w:id="84"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4"/>
          </w:p>
          <w:p w:rsidR="005645C9" w:rsidRPr="009276B4" w:rsidRDefault="005645C9" w:rsidP="005645C9">
            <w:pPr>
              <w:pStyle w:val="2"/>
              <w:widowControl w:val="0"/>
              <w:rPr>
                <w:szCs w:val="24"/>
                <w:lang w:val="ru-RU"/>
              </w:rPr>
            </w:pPr>
          </w:p>
          <w:p w:rsidR="005645C9" w:rsidRPr="009276B4" w:rsidRDefault="005645C9" w:rsidP="005645C9">
            <w:pPr>
              <w:pStyle w:val="2"/>
              <w:widowControl w:val="0"/>
              <w:rPr>
                <w:szCs w:val="24"/>
                <w:lang w:val="ru-RU"/>
              </w:rPr>
            </w:pPr>
          </w:p>
          <w:p w:rsidR="00FA6130" w:rsidRDefault="00FA6130" w:rsidP="005645C9">
            <w:pPr>
              <w:pStyle w:val="2"/>
              <w:widowControl w:val="0"/>
              <w:rPr>
                <w:b/>
                <w:i/>
                <w:szCs w:val="24"/>
                <w:lang w:val="ru-RU"/>
              </w:rPr>
            </w:pPr>
          </w:p>
          <w:p w:rsidR="001E33B0" w:rsidRPr="001E33B0" w:rsidRDefault="001E33B0" w:rsidP="001E33B0">
            <w:pPr>
              <w:rPr>
                <w:lang w:val="ru-RU"/>
              </w:rPr>
            </w:pPr>
          </w:p>
          <w:p w:rsidR="003A5E5F" w:rsidRPr="003A5E5F" w:rsidRDefault="003A5E5F" w:rsidP="003A5E5F">
            <w:pPr>
              <w:pStyle w:val="2"/>
              <w:widowControl w:val="0"/>
              <w:rPr>
                <w:b/>
                <w:i/>
                <w:szCs w:val="24"/>
                <w:lang w:val="ru-RU"/>
              </w:rPr>
            </w:pPr>
            <w:proofErr w:type="spellStart"/>
            <w:r w:rsidRPr="003A5E5F">
              <w:rPr>
                <w:b/>
                <w:i/>
                <w:szCs w:val="24"/>
                <w:lang w:val="ru-RU"/>
              </w:rPr>
              <w:t>И.о</w:t>
            </w:r>
            <w:proofErr w:type="spellEnd"/>
            <w:r w:rsidRPr="003A5E5F">
              <w:rPr>
                <w:b/>
                <w:i/>
                <w:szCs w:val="24"/>
                <w:lang w:val="ru-RU"/>
              </w:rPr>
              <w:t>. исполнительного директора</w:t>
            </w:r>
          </w:p>
          <w:p w:rsidR="003A5E5F" w:rsidRPr="003A5E5F" w:rsidRDefault="003A5E5F" w:rsidP="003A5E5F">
            <w:pPr>
              <w:pStyle w:val="2"/>
              <w:widowControl w:val="0"/>
              <w:rPr>
                <w:b/>
                <w:szCs w:val="24"/>
                <w:lang w:val="ru-RU"/>
              </w:rPr>
            </w:pPr>
            <w:r w:rsidRPr="003A5E5F">
              <w:rPr>
                <w:b/>
                <w:szCs w:val="24"/>
                <w:lang w:val="ru-RU"/>
              </w:rPr>
              <w:t>Белов Александр Александрович</w:t>
            </w:r>
          </w:p>
          <w:p w:rsidR="005645C9" w:rsidRPr="009276B4" w:rsidRDefault="005645C9" w:rsidP="005645C9">
            <w:pPr>
              <w:pStyle w:val="2"/>
              <w:widowControl w:val="0"/>
              <w:rPr>
                <w:b/>
                <w:i/>
                <w:szCs w:val="24"/>
                <w:lang w:val="ru-RU"/>
              </w:rPr>
            </w:pPr>
          </w:p>
          <w:p w:rsidR="00F0117C" w:rsidRPr="005645C9" w:rsidRDefault="005645C9" w:rsidP="005645C9">
            <w:pPr>
              <w:widowControl w:val="0"/>
              <w:spacing w:after="0"/>
              <w:rPr>
                <w:sz w:val="24"/>
                <w:szCs w:val="24"/>
                <w:lang w:val="ru-RU"/>
              </w:rPr>
            </w:pPr>
            <w:r w:rsidRPr="009276B4">
              <w:rPr>
                <w:b/>
                <w:sz w:val="24"/>
                <w:szCs w:val="24"/>
                <w:lang w:val="ru-RU"/>
              </w:rPr>
              <w:t xml:space="preserve">_______________________ </w:t>
            </w:r>
          </w:p>
          <w:p w:rsidR="00F0117C" w:rsidRPr="007A140A" w:rsidRDefault="00F0117C" w:rsidP="00FC416E">
            <w:pPr>
              <w:pStyle w:val="2"/>
              <w:keepNext w:val="0"/>
              <w:widowControl w:val="0"/>
              <w:rPr>
                <w:szCs w:val="24"/>
                <w:lang w:val="ru-RU"/>
              </w:rPr>
            </w:pPr>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BC456A" w:rsidRDefault="00BC456A" w:rsidP="00BC456A">
            <w:pPr>
              <w:pStyle w:val="5"/>
              <w:widowControl w:val="0"/>
              <w:tabs>
                <w:tab w:val="num" w:pos="1440"/>
              </w:tabs>
              <w:spacing w:before="0" w:after="0"/>
              <w:rPr>
                <w:b w:val="0"/>
                <w:i w:val="0"/>
                <w:sz w:val="22"/>
                <w:szCs w:val="22"/>
                <w:lang w:val="ru-RU"/>
              </w:rPr>
            </w:pPr>
          </w:p>
          <w:p w:rsidR="001E33B0" w:rsidRDefault="001E33B0" w:rsidP="001E33B0">
            <w:pPr>
              <w:rPr>
                <w:lang w:val="ru-RU"/>
              </w:rPr>
            </w:pPr>
          </w:p>
          <w:p w:rsidR="001E33B0" w:rsidRDefault="001E33B0" w:rsidP="001E33B0">
            <w:pPr>
              <w:rPr>
                <w:lang w:val="ru-RU"/>
              </w:rPr>
            </w:pPr>
          </w:p>
          <w:p w:rsidR="001E33B0" w:rsidRDefault="001E33B0" w:rsidP="001E33B0">
            <w:pPr>
              <w:rPr>
                <w:lang w:val="ru-RU"/>
              </w:rPr>
            </w:pPr>
          </w:p>
          <w:p w:rsidR="001E33B0" w:rsidRDefault="001E33B0" w:rsidP="001E33B0">
            <w:pPr>
              <w:rPr>
                <w:lang w:val="ru-RU"/>
              </w:rPr>
            </w:pPr>
          </w:p>
          <w:p w:rsidR="001E33B0" w:rsidRDefault="001E33B0" w:rsidP="001E33B0">
            <w:pPr>
              <w:rPr>
                <w:lang w:val="ru-RU"/>
              </w:rPr>
            </w:pPr>
          </w:p>
          <w:p w:rsidR="001E33B0" w:rsidRDefault="001E33B0" w:rsidP="001E33B0">
            <w:pPr>
              <w:rPr>
                <w:lang w:val="ru-RU"/>
              </w:rPr>
            </w:pPr>
          </w:p>
          <w:p w:rsidR="001E33B0" w:rsidRDefault="001E33B0" w:rsidP="001E33B0">
            <w:pPr>
              <w:rPr>
                <w:lang w:val="ru-RU"/>
              </w:rPr>
            </w:pPr>
            <w:bookmarkStart w:id="85" w:name="_GoBack"/>
            <w:bookmarkEnd w:id="85"/>
          </w:p>
          <w:p w:rsidR="001E33B0" w:rsidRDefault="001E33B0" w:rsidP="001E33B0">
            <w:pPr>
              <w:rPr>
                <w:lang w:val="ru-RU"/>
              </w:rPr>
            </w:pPr>
          </w:p>
          <w:p w:rsidR="005645C9" w:rsidRPr="005645C9" w:rsidRDefault="005645C9" w:rsidP="005645C9">
            <w:pPr>
              <w:pStyle w:val="5"/>
              <w:widowControl w:val="0"/>
              <w:tabs>
                <w:tab w:val="num" w:pos="1440"/>
              </w:tabs>
              <w:spacing w:before="0" w:after="0"/>
              <w:rPr>
                <w:b w:val="0"/>
                <w:i w:val="0"/>
                <w:sz w:val="22"/>
                <w:szCs w:val="22"/>
                <w:lang w:val="ru-RU"/>
              </w:rPr>
            </w:pPr>
          </w:p>
          <w:p w:rsidR="005645C9" w:rsidRDefault="005645C9" w:rsidP="005645C9">
            <w:pPr>
              <w:pStyle w:val="5"/>
              <w:widowControl w:val="0"/>
              <w:tabs>
                <w:tab w:val="num" w:pos="1440"/>
              </w:tabs>
              <w:spacing w:before="0" w:after="0"/>
              <w:rPr>
                <w:sz w:val="22"/>
                <w:szCs w:val="22"/>
                <w:lang w:val="ru-RU"/>
              </w:rPr>
            </w:pPr>
          </w:p>
          <w:p w:rsidR="001E33B0" w:rsidRPr="001E33B0" w:rsidRDefault="001E33B0" w:rsidP="001E33B0">
            <w:pPr>
              <w:rPr>
                <w:lang w:val="ru-RU"/>
              </w:rPr>
            </w:pPr>
          </w:p>
          <w:p w:rsidR="001E33B0" w:rsidRPr="001E33B0" w:rsidRDefault="001E33B0" w:rsidP="001E33B0">
            <w:pPr>
              <w:rPr>
                <w:lang w:val="ru-RU"/>
              </w:rPr>
            </w:pPr>
          </w:p>
          <w:p w:rsidR="005645C9" w:rsidRPr="004F7133" w:rsidRDefault="00D4309E" w:rsidP="005645C9">
            <w:pPr>
              <w:pStyle w:val="5"/>
              <w:widowControl w:val="0"/>
              <w:tabs>
                <w:tab w:val="num" w:pos="1440"/>
              </w:tabs>
              <w:spacing w:before="0" w:after="0"/>
              <w:rPr>
                <w:sz w:val="24"/>
                <w:szCs w:val="24"/>
                <w:lang w:val="ru-RU"/>
              </w:rPr>
            </w:pPr>
            <w:r w:rsidRPr="004F7133">
              <w:rPr>
                <w:sz w:val="24"/>
                <w:szCs w:val="24"/>
                <w:lang w:val="ru-RU"/>
              </w:rPr>
              <w:t>Генеральный директор</w:t>
            </w:r>
          </w:p>
          <w:p w:rsidR="005645C9" w:rsidRDefault="005645C9" w:rsidP="005645C9">
            <w:pPr>
              <w:widowControl w:val="0"/>
              <w:spacing w:after="0"/>
              <w:rPr>
                <w:b/>
                <w:sz w:val="24"/>
                <w:szCs w:val="24"/>
                <w:lang w:val="ru-RU"/>
              </w:rPr>
            </w:pPr>
          </w:p>
          <w:p w:rsidR="001E33B0" w:rsidRDefault="001E33B0" w:rsidP="005645C9">
            <w:pPr>
              <w:widowControl w:val="0"/>
              <w:spacing w:after="0"/>
              <w:rPr>
                <w:b/>
                <w:sz w:val="24"/>
                <w:szCs w:val="24"/>
                <w:lang w:val="ru-RU"/>
              </w:rPr>
            </w:pPr>
          </w:p>
          <w:p w:rsidR="005645C9" w:rsidRPr="004F7133" w:rsidRDefault="005645C9" w:rsidP="005645C9">
            <w:pPr>
              <w:widowControl w:val="0"/>
              <w:spacing w:after="0"/>
              <w:rPr>
                <w:b/>
                <w:sz w:val="24"/>
                <w:szCs w:val="24"/>
                <w:lang w:val="ru-RU"/>
              </w:rPr>
            </w:pPr>
            <w:r w:rsidRPr="004F7133">
              <w:rPr>
                <w:b/>
                <w:sz w:val="24"/>
                <w:szCs w:val="24"/>
                <w:lang w:val="ru-RU"/>
              </w:rPr>
              <w:t xml:space="preserve">_____________________ </w:t>
            </w:r>
          </w:p>
          <w:p w:rsidR="00F0117C" w:rsidRPr="004F7133" w:rsidRDefault="00F0117C" w:rsidP="00FC416E">
            <w:pPr>
              <w:rPr>
                <w:lang w:val="ru-RU"/>
              </w:rPr>
            </w:pPr>
          </w:p>
        </w:tc>
      </w:tr>
    </w:tbl>
    <w:p w:rsidR="002913A8" w:rsidRPr="00895633" w:rsidRDefault="002913A8">
      <w:pPr>
        <w:rPr>
          <w:lang w:val="ru-RU"/>
        </w:rPr>
      </w:pPr>
    </w:p>
    <w:sectPr w:rsidR="002913A8" w:rsidRPr="00895633" w:rsidSect="00FA6130">
      <w:headerReference w:type="even" r:id="rId8"/>
      <w:headerReference w:type="default" r:id="rId9"/>
      <w:footerReference w:type="even" r:id="rId10"/>
      <w:footerReference w:type="default" r:id="rId11"/>
      <w:headerReference w:type="first" r:id="rId12"/>
      <w:footerReference w:type="first" r:id="rId13"/>
      <w:pgSz w:w="11906" w:h="16838"/>
      <w:pgMar w:top="993"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4E" w:rsidRDefault="0011274E">
      <w:r>
        <w:separator/>
      </w:r>
    </w:p>
  </w:endnote>
  <w:endnote w:type="continuationSeparator" w:id="0">
    <w:p w:rsidR="0011274E" w:rsidRDefault="0011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16E" w:rsidRDefault="00FC416E"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1E33B0">
      <w:rPr>
        <w:rStyle w:val="a8"/>
        <w:noProof/>
      </w:rPr>
      <w:t>12</w:t>
    </w:r>
    <w:r>
      <w:rPr>
        <w:rStyle w:val="a8"/>
      </w:rPr>
      <w:fldChar w:fldCharType="end"/>
    </w:r>
  </w:p>
  <w:p w:rsidR="00FC416E" w:rsidRDefault="00FC416E"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ED" w:rsidRDefault="004D08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4E" w:rsidRDefault="0011274E">
      <w:r>
        <w:separator/>
      </w:r>
    </w:p>
  </w:footnote>
  <w:footnote w:type="continuationSeparator" w:id="0">
    <w:p w:rsidR="0011274E" w:rsidRDefault="00112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ED" w:rsidRDefault="004D08E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ED" w:rsidRDefault="004D08E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ED" w:rsidRDefault="004D08ED">
    <w:pPr>
      <w:pStyle w:val="a9"/>
    </w:pPr>
    <w:r>
      <w:rPr>
        <w:noProof/>
        <w:lang w:val="ru-RU" w:eastAsia="ru-RU"/>
      </w:rPr>
      <w:drawing>
        <wp:inline distT="0" distB="0" distL="0" distR="0" wp14:anchorId="02AAD6FA" wp14:editId="6F05EFDC">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76A9"/>
    <w:rsid w:val="00085096"/>
    <w:rsid w:val="000940CB"/>
    <w:rsid w:val="000B203A"/>
    <w:rsid w:val="000B3F2E"/>
    <w:rsid w:val="000B6DD1"/>
    <w:rsid w:val="000C1FD2"/>
    <w:rsid w:val="000C5B30"/>
    <w:rsid w:val="000D4EC5"/>
    <w:rsid w:val="000D7246"/>
    <w:rsid w:val="000E2B82"/>
    <w:rsid w:val="000F0A77"/>
    <w:rsid w:val="000F458B"/>
    <w:rsid w:val="00102C22"/>
    <w:rsid w:val="0011274E"/>
    <w:rsid w:val="00113DB0"/>
    <w:rsid w:val="001233A4"/>
    <w:rsid w:val="00133395"/>
    <w:rsid w:val="00136384"/>
    <w:rsid w:val="00141DD2"/>
    <w:rsid w:val="00143D9E"/>
    <w:rsid w:val="001478F9"/>
    <w:rsid w:val="001669F7"/>
    <w:rsid w:val="00170D86"/>
    <w:rsid w:val="00173166"/>
    <w:rsid w:val="001733FE"/>
    <w:rsid w:val="001874BE"/>
    <w:rsid w:val="001B11CF"/>
    <w:rsid w:val="001B5A6D"/>
    <w:rsid w:val="001C091E"/>
    <w:rsid w:val="001D027E"/>
    <w:rsid w:val="001E33B0"/>
    <w:rsid w:val="001E6A49"/>
    <w:rsid w:val="001F121F"/>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A7FE1"/>
    <w:rsid w:val="002B4C7D"/>
    <w:rsid w:val="002B74FA"/>
    <w:rsid w:val="002B7CB5"/>
    <w:rsid w:val="002C48F7"/>
    <w:rsid w:val="002D123E"/>
    <w:rsid w:val="002D40E3"/>
    <w:rsid w:val="002D6A98"/>
    <w:rsid w:val="002E146C"/>
    <w:rsid w:val="002F0391"/>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4E0A"/>
    <w:rsid w:val="003A5E5F"/>
    <w:rsid w:val="003A6F8C"/>
    <w:rsid w:val="003C0B33"/>
    <w:rsid w:val="003C20AC"/>
    <w:rsid w:val="003E04AC"/>
    <w:rsid w:val="003E7D4B"/>
    <w:rsid w:val="003F1069"/>
    <w:rsid w:val="004127C6"/>
    <w:rsid w:val="0042002E"/>
    <w:rsid w:val="00437D16"/>
    <w:rsid w:val="00440E4B"/>
    <w:rsid w:val="00443774"/>
    <w:rsid w:val="0044434F"/>
    <w:rsid w:val="004543E2"/>
    <w:rsid w:val="00474C2C"/>
    <w:rsid w:val="0048011F"/>
    <w:rsid w:val="004A07D6"/>
    <w:rsid w:val="004B7384"/>
    <w:rsid w:val="004C5D98"/>
    <w:rsid w:val="004C6607"/>
    <w:rsid w:val="004C66EE"/>
    <w:rsid w:val="004D08ED"/>
    <w:rsid w:val="004D79AB"/>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643D1"/>
    <w:rsid w:val="005645C9"/>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3AC"/>
    <w:rsid w:val="005F40D8"/>
    <w:rsid w:val="00615174"/>
    <w:rsid w:val="00624C5F"/>
    <w:rsid w:val="006306DF"/>
    <w:rsid w:val="00631F00"/>
    <w:rsid w:val="0063628F"/>
    <w:rsid w:val="0064658D"/>
    <w:rsid w:val="00650481"/>
    <w:rsid w:val="006652F3"/>
    <w:rsid w:val="00671AD9"/>
    <w:rsid w:val="00673F98"/>
    <w:rsid w:val="0068116E"/>
    <w:rsid w:val="00690F6F"/>
    <w:rsid w:val="00692DD0"/>
    <w:rsid w:val="006932D2"/>
    <w:rsid w:val="006A186E"/>
    <w:rsid w:val="006B2F69"/>
    <w:rsid w:val="006B5F90"/>
    <w:rsid w:val="006C584F"/>
    <w:rsid w:val="006D6C2D"/>
    <w:rsid w:val="006E0BBA"/>
    <w:rsid w:val="006E6B34"/>
    <w:rsid w:val="00702ED9"/>
    <w:rsid w:val="00706D08"/>
    <w:rsid w:val="00712441"/>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F3622"/>
    <w:rsid w:val="007F636D"/>
    <w:rsid w:val="008005D5"/>
    <w:rsid w:val="00801D4E"/>
    <w:rsid w:val="00804029"/>
    <w:rsid w:val="00805725"/>
    <w:rsid w:val="00806F05"/>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3E06"/>
    <w:rsid w:val="008D44F1"/>
    <w:rsid w:val="008F3843"/>
    <w:rsid w:val="008F7515"/>
    <w:rsid w:val="009037E4"/>
    <w:rsid w:val="00916B64"/>
    <w:rsid w:val="00921504"/>
    <w:rsid w:val="00925EFE"/>
    <w:rsid w:val="009276B4"/>
    <w:rsid w:val="009314CF"/>
    <w:rsid w:val="00953A82"/>
    <w:rsid w:val="00954ACF"/>
    <w:rsid w:val="0097127A"/>
    <w:rsid w:val="00977FCA"/>
    <w:rsid w:val="009A3DE5"/>
    <w:rsid w:val="009A70BC"/>
    <w:rsid w:val="009A7247"/>
    <w:rsid w:val="009A775F"/>
    <w:rsid w:val="009B0BE1"/>
    <w:rsid w:val="009B700B"/>
    <w:rsid w:val="009C1853"/>
    <w:rsid w:val="009C448D"/>
    <w:rsid w:val="009C6704"/>
    <w:rsid w:val="009F15E1"/>
    <w:rsid w:val="009F2BC2"/>
    <w:rsid w:val="009F42D8"/>
    <w:rsid w:val="00A0078E"/>
    <w:rsid w:val="00A032DC"/>
    <w:rsid w:val="00A162CF"/>
    <w:rsid w:val="00A26113"/>
    <w:rsid w:val="00A30ECB"/>
    <w:rsid w:val="00A458C8"/>
    <w:rsid w:val="00A536D1"/>
    <w:rsid w:val="00A53FDA"/>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D220B"/>
    <w:rsid w:val="00AD320A"/>
    <w:rsid w:val="00AD42BA"/>
    <w:rsid w:val="00AD7EC6"/>
    <w:rsid w:val="00AE0571"/>
    <w:rsid w:val="00AE6681"/>
    <w:rsid w:val="00AE6B8A"/>
    <w:rsid w:val="00B12E2D"/>
    <w:rsid w:val="00B226AE"/>
    <w:rsid w:val="00B2324B"/>
    <w:rsid w:val="00B26074"/>
    <w:rsid w:val="00B31C44"/>
    <w:rsid w:val="00B33C12"/>
    <w:rsid w:val="00B50564"/>
    <w:rsid w:val="00B73BD1"/>
    <w:rsid w:val="00B74A37"/>
    <w:rsid w:val="00B90B1A"/>
    <w:rsid w:val="00B92567"/>
    <w:rsid w:val="00B947DF"/>
    <w:rsid w:val="00B96766"/>
    <w:rsid w:val="00BA260D"/>
    <w:rsid w:val="00BB551B"/>
    <w:rsid w:val="00BB609D"/>
    <w:rsid w:val="00BC29D7"/>
    <w:rsid w:val="00BC456A"/>
    <w:rsid w:val="00BC4CE9"/>
    <w:rsid w:val="00BC7930"/>
    <w:rsid w:val="00BD24BE"/>
    <w:rsid w:val="00BD39E1"/>
    <w:rsid w:val="00BE33FC"/>
    <w:rsid w:val="00BE7FD2"/>
    <w:rsid w:val="00C1051F"/>
    <w:rsid w:val="00C11C54"/>
    <w:rsid w:val="00C1324C"/>
    <w:rsid w:val="00C21615"/>
    <w:rsid w:val="00C43DAB"/>
    <w:rsid w:val="00C5014A"/>
    <w:rsid w:val="00C668A7"/>
    <w:rsid w:val="00C83350"/>
    <w:rsid w:val="00C833A8"/>
    <w:rsid w:val="00CB10D6"/>
    <w:rsid w:val="00CB1FC3"/>
    <w:rsid w:val="00CB68C4"/>
    <w:rsid w:val="00CB7535"/>
    <w:rsid w:val="00CC15F3"/>
    <w:rsid w:val="00CC19B7"/>
    <w:rsid w:val="00CC3740"/>
    <w:rsid w:val="00CC4AAD"/>
    <w:rsid w:val="00CC7FE6"/>
    <w:rsid w:val="00CD379D"/>
    <w:rsid w:val="00CE3156"/>
    <w:rsid w:val="00CE7650"/>
    <w:rsid w:val="00CF20B6"/>
    <w:rsid w:val="00CF558D"/>
    <w:rsid w:val="00D00E16"/>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A502B"/>
    <w:rsid w:val="00DA644A"/>
    <w:rsid w:val="00DB164F"/>
    <w:rsid w:val="00DC44A5"/>
    <w:rsid w:val="00DC57C2"/>
    <w:rsid w:val="00DD4AEE"/>
    <w:rsid w:val="00DD74AF"/>
    <w:rsid w:val="00DE21EE"/>
    <w:rsid w:val="00DF3CE3"/>
    <w:rsid w:val="00E3214D"/>
    <w:rsid w:val="00E42C1D"/>
    <w:rsid w:val="00E47261"/>
    <w:rsid w:val="00E53AF1"/>
    <w:rsid w:val="00E604EA"/>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340D"/>
    <w:rsid w:val="00F978AB"/>
    <w:rsid w:val="00FA6130"/>
    <w:rsid w:val="00FA61C8"/>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995657-8725-4B10-B893-5E4469E1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C669B-544C-4DC8-89A6-F4ECD6B7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5</TotalTime>
  <Pages>12</Pages>
  <Words>4073</Words>
  <Characters>29267</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3</cp:revision>
  <cp:lastPrinted>2014-05-15T12:18:00Z</cp:lastPrinted>
  <dcterms:created xsi:type="dcterms:W3CDTF">2018-10-29T10:34:00Z</dcterms:created>
  <dcterms:modified xsi:type="dcterms:W3CDTF">2018-11-01T06:08:00Z</dcterms:modified>
</cp:coreProperties>
</file>